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A4596" w14:textId="77777777" w:rsidR="004B7EB4" w:rsidRDefault="004B7EB4">
      <w:pPr>
        <w:pStyle w:val="Title"/>
      </w:pPr>
    </w:p>
    <w:p w14:paraId="5B4C7A4F" w14:textId="77777777" w:rsidR="004B7EB4" w:rsidRDefault="004B7EB4">
      <w:pPr>
        <w:pStyle w:val="Default"/>
        <w:suppressAutoHyphens/>
        <w:spacing w:before="0" w:line="240" w:lineRule="auto"/>
        <w:rPr>
          <w:rFonts w:ascii="Helvetica" w:eastAsia="Helvetica" w:hAnsi="Helvetica" w:cs="Helvetica"/>
        </w:rPr>
      </w:pPr>
    </w:p>
    <w:p w14:paraId="1FFD1B57" w14:textId="77777777" w:rsidR="004B7EB4" w:rsidRDefault="00435FB1">
      <w:pPr>
        <w:pStyle w:val="Default"/>
        <w:suppressAutoHyphens/>
        <w:spacing w:before="0" w:after="280" w:line="240" w:lineRule="auto"/>
        <w:rPr>
          <w:rFonts w:ascii="Helvetica" w:eastAsia="Helvetica" w:hAnsi="Helvetica" w:cs="Helvetica"/>
          <w:b/>
          <w:bCs/>
          <w:sz w:val="28"/>
          <w:szCs w:val="28"/>
        </w:rPr>
      </w:pPr>
      <w:r>
        <w:rPr>
          <w:rFonts w:ascii="Helvetica" w:hAnsi="Helvetica"/>
          <w:b/>
          <w:bCs/>
          <w:sz w:val="28"/>
          <w:szCs w:val="28"/>
        </w:rPr>
        <w:t>Letter of Medical Necessity</w:t>
      </w:r>
    </w:p>
    <w:p w14:paraId="4C0EAEFF"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lang w:val="it-IT"/>
        </w:rPr>
        <w:t>To:</w:t>
      </w:r>
      <w:r>
        <w:rPr>
          <w:rFonts w:ascii="Helvetica" w:hAnsi="Helvetica"/>
        </w:rPr>
        <w:t xml:space="preserve"> [Insurance Company Name / Claims Review Department]</w:t>
      </w:r>
    </w:p>
    <w:p w14:paraId="6A5C5708"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Patient Name:</w:t>
      </w:r>
      <w:r>
        <w:rPr>
          <w:rFonts w:ascii="Helvetica" w:hAnsi="Helvetica"/>
          <w:lang w:val="pt-PT"/>
        </w:rPr>
        <w:t xml:space="preserve"> [Patient Name]</w:t>
      </w:r>
    </w:p>
    <w:p w14:paraId="7383CB69"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Date of Birth:</w:t>
      </w:r>
      <w:r>
        <w:rPr>
          <w:rFonts w:ascii="Helvetica" w:hAnsi="Helvetica"/>
          <w:lang w:val="pt-PT"/>
        </w:rPr>
        <w:t xml:space="preserve"> [DOB]</w:t>
      </w:r>
    </w:p>
    <w:p w14:paraId="221F5E80"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Date of Service:</w:t>
      </w:r>
      <w:r>
        <w:rPr>
          <w:rFonts w:ascii="Helvetica" w:hAnsi="Helvetica"/>
          <w:lang w:val="de-DE"/>
        </w:rPr>
        <w:t xml:space="preserve"> [Date]</w:t>
      </w:r>
    </w:p>
    <w:p w14:paraId="287928F2"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Claim Number:</w:t>
      </w:r>
      <w:r>
        <w:rPr>
          <w:rFonts w:ascii="Helvetica" w:hAnsi="Helvetica"/>
        </w:rPr>
        <w:t xml:space="preserve"> [</w:t>
      </w:r>
      <w:proofErr w:type="gramStart"/>
      <w:r>
        <w:rPr>
          <w:rFonts w:ascii="Helvetica" w:hAnsi="Helvetica"/>
        </w:rPr>
        <w:t>Claim #,</w:t>
      </w:r>
      <w:proofErr w:type="gramEnd"/>
      <w:r>
        <w:rPr>
          <w:rFonts w:ascii="Helvetica" w:hAnsi="Helvetica"/>
        </w:rPr>
        <w:t xml:space="preserve"> if available]</w:t>
      </w:r>
    </w:p>
    <w:p w14:paraId="4B249A97"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Procedure:</w:t>
      </w:r>
      <w:r>
        <w:rPr>
          <w:rFonts w:ascii="Helvetica" w:hAnsi="Helvetica"/>
        </w:rPr>
        <w:t xml:space="preserve"> CPT 28292 with Modifier -22</w:t>
      </w:r>
    </w:p>
    <w:p w14:paraId="564B620E"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RE: Justification for Modifier -22 (Increased Procedural Services)</w:t>
      </w:r>
    </w:p>
    <w:p w14:paraId="24FD8CB4"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rPr>
        <w:t>To Whom It May Concern,</w:t>
      </w:r>
    </w:p>
    <w:p w14:paraId="2E0B9229"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rPr>
        <w:t xml:space="preserve">I am writing to provide detailed clinical documentation to support the use of </w:t>
      </w:r>
      <w:r>
        <w:rPr>
          <w:rFonts w:ascii="Helvetica" w:hAnsi="Helvetica"/>
          <w:b/>
          <w:bCs/>
          <w:lang w:val="fr-FR"/>
        </w:rPr>
        <w:t>Modifier -22</w:t>
      </w:r>
      <w:r>
        <w:rPr>
          <w:rFonts w:ascii="Helvetica" w:hAnsi="Helvetica"/>
        </w:rPr>
        <w:t xml:space="preserve"> for the procedure performed on [Date]. While the primary CPT code used is </w:t>
      </w:r>
      <w:r>
        <w:rPr>
          <w:rFonts w:ascii="Helvetica" w:hAnsi="Helvetica"/>
          <w:b/>
          <w:bCs/>
        </w:rPr>
        <w:t>28292</w:t>
      </w:r>
      <w:r>
        <w:rPr>
          <w:rFonts w:ascii="Helvetica" w:hAnsi="Helvetica"/>
        </w:rPr>
        <w:t xml:space="preserve"> (Hallux Valgus Correction, McBride type), the complexity of this specific case and the advanced surgical technique employed represent work that is significantly above and beyond the standard definition of the code.</w:t>
      </w:r>
    </w:p>
    <w:p w14:paraId="0CF2EE4A" w14:textId="77777777" w:rsidR="004B7EB4" w:rsidRDefault="00435FB1">
      <w:pPr>
        <w:pStyle w:val="Default"/>
        <w:suppressAutoHyphens/>
        <w:spacing w:before="0" w:after="240" w:line="240" w:lineRule="auto"/>
        <w:rPr>
          <w:rFonts w:ascii="Helvetica" w:eastAsia="Helvetica" w:hAnsi="Helvetica" w:cs="Helvetica"/>
        </w:rPr>
      </w:pPr>
      <w:proofErr w:type="spellStart"/>
      <w:r>
        <w:rPr>
          <w:rFonts w:ascii="Helvetica" w:hAnsi="Helvetica"/>
          <w:b/>
          <w:bCs/>
          <w:lang w:val="fr-FR"/>
        </w:rPr>
        <w:t>Clinical</w:t>
      </w:r>
      <w:proofErr w:type="spellEnd"/>
      <w:r>
        <w:rPr>
          <w:rFonts w:ascii="Helvetica" w:hAnsi="Helvetica"/>
          <w:b/>
          <w:bCs/>
          <w:lang w:val="fr-FR"/>
        </w:rPr>
        <w:t xml:space="preserve"> </w:t>
      </w:r>
      <w:proofErr w:type="spellStart"/>
      <w:r>
        <w:rPr>
          <w:rFonts w:ascii="Helvetica" w:hAnsi="Helvetica"/>
          <w:b/>
          <w:bCs/>
          <w:lang w:val="fr-FR"/>
        </w:rPr>
        <w:t>Rationale</w:t>
      </w:r>
      <w:proofErr w:type="spellEnd"/>
      <w:r>
        <w:rPr>
          <w:rFonts w:ascii="Helvetica" w:hAnsi="Helvetica"/>
          <w:b/>
          <w:bCs/>
          <w:lang w:val="fr-FR"/>
        </w:rPr>
        <w:t xml:space="preserve"> &amp; Patient </w:t>
      </w:r>
      <w:proofErr w:type="spellStart"/>
      <w:proofErr w:type="gramStart"/>
      <w:r>
        <w:rPr>
          <w:rFonts w:ascii="Helvetica" w:hAnsi="Helvetica"/>
          <w:b/>
          <w:bCs/>
          <w:lang w:val="fr-FR"/>
        </w:rPr>
        <w:t>Preference</w:t>
      </w:r>
      <w:proofErr w:type="spellEnd"/>
      <w:r>
        <w:rPr>
          <w:rFonts w:ascii="Helvetica" w:hAnsi="Helvetica"/>
          <w:b/>
          <w:bCs/>
          <w:lang w:val="fr-FR"/>
        </w:rPr>
        <w:t>:</w:t>
      </w:r>
      <w:proofErr w:type="gramEnd"/>
      <w:r>
        <w:rPr>
          <w:rFonts w:ascii="Helvetica" w:hAnsi="Helvetica"/>
        </w:rPr>
        <w:t xml:space="preserve"> The patient presented with a symptomatic hallux valgus deformity and a significant </w:t>
      </w:r>
      <w:proofErr w:type="spellStart"/>
      <w:r>
        <w:rPr>
          <w:rFonts w:ascii="Helvetica" w:hAnsi="Helvetica"/>
          <w:b/>
          <w:bCs/>
          <w:lang w:val="fr-FR"/>
        </w:rPr>
        <w:t>Metatarsus</w:t>
      </w:r>
      <w:proofErr w:type="spellEnd"/>
      <w:r>
        <w:rPr>
          <w:rFonts w:ascii="Helvetica" w:hAnsi="Helvetica"/>
          <w:b/>
          <w:bCs/>
          <w:lang w:val="fr-FR"/>
        </w:rPr>
        <w:t xml:space="preserve"> Primus Varus</w:t>
      </w:r>
      <w:r>
        <w:rPr>
          <w:rFonts w:ascii="Helvetica" w:hAnsi="Helvetica"/>
        </w:rPr>
        <w:t>. After a thorough discussion of surgical options, including traditional osteotomy and Lapidus fusion, the patient expressed a strong preference for a bone-preserving approach. The patient</w:t>
      </w:r>
      <w:r>
        <w:rPr>
          <w:rFonts w:ascii="Helvetica" w:hAnsi="Helvetica"/>
          <w:rtl/>
        </w:rPr>
        <w:t>’</w:t>
      </w:r>
      <w:r>
        <w:rPr>
          <w:rFonts w:ascii="Helvetica" w:hAnsi="Helvetica"/>
        </w:rPr>
        <w:t>s primary concerns included:</w:t>
      </w:r>
    </w:p>
    <w:p w14:paraId="5EAC339F" w14:textId="77777777" w:rsidR="004B7EB4" w:rsidRDefault="00435FB1">
      <w:pPr>
        <w:pStyle w:val="Default"/>
        <w:numPr>
          <w:ilvl w:val="0"/>
          <w:numId w:val="2"/>
        </w:numPr>
        <w:suppressAutoHyphens/>
        <w:spacing w:before="0" w:after="240" w:line="240" w:lineRule="auto"/>
        <w:rPr>
          <w:rFonts w:ascii="Helvetica" w:hAnsi="Helvetica"/>
        </w:rPr>
      </w:pPr>
      <w:r>
        <w:rPr>
          <w:rFonts w:ascii="Helvetica" w:hAnsi="Helvetica"/>
        </w:rPr>
        <w:t>Avoiding the high complication rates associated with bone fusions (e.g., non-union or malunion).</w:t>
      </w:r>
    </w:p>
    <w:p w14:paraId="0F453115" w14:textId="77777777" w:rsidR="004B7EB4" w:rsidRDefault="00435FB1">
      <w:pPr>
        <w:pStyle w:val="Default"/>
        <w:numPr>
          <w:ilvl w:val="0"/>
          <w:numId w:val="2"/>
        </w:numPr>
        <w:suppressAutoHyphens/>
        <w:spacing w:before="0" w:after="240" w:line="240" w:lineRule="auto"/>
        <w:rPr>
          <w:rFonts w:ascii="Helvetica" w:hAnsi="Helvetica"/>
        </w:rPr>
      </w:pPr>
      <w:r>
        <w:rPr>
          <w:rFonts w:ascii="Helvetica" w:hAnsi="Helvetica"/>
        </w:rPr>
        <w:t>Avoiding the risks of permanent structural changes .</w:t>
      </w:r>
    </w:p>
    <w:p w14:paraId="6C78AFB1" w14:textId="77777777" w:rsidR="004B7EB4" w:rsidRDefault="00435FB1">
      <w:pPr>
        <w:pStyle w:val="Default"/>
        <w:numPr>
          <w:ilvl w:val="0"/>
          <w:numId w:val="2"/>
        </w:numPr>
        <w:suppressAutoHyphens/>
        <w:spacing w:before="0" w:after="240" w:line="240" w:lineRule="auto"/>
        <w:rPr>
          <w:rFonts w:ascii="Helvetica" w:hAnsi="Helvetica"/>
        </w:rPr>
      </w:pPr>
      <w:r>
        <w:rPr>
          <w:rFonts w:ascii="Helvetica" w:hAnsi="Helvetica"/>
        </w:rPr>
        <w:t>Minimizing the prolonged non-weight-bearing recovery period typically required after a Lapidus-style fusion and osteotomies.</w:t>
      </w:r>
    </w:p>
    <w:p w14:paraId="6CF91AED"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Increased Procedural Complexity (The HyperFlex System):</w:t>
      </w:r>
      <w:r>
        <w:rPr>
          <w:rFonts w:ascii="Helvetica" w:hAnsi="Helvetica"/>
        </w:rPr>
        <w:t xml:space="preserve"> To address these concerns while still achieving a definitive structural correction of the intermetatarsal angle, I utilized the </w:t>
      </w:r>
      <w:r>
        <w:rPr>
          <w:rFonts w:ascii="Helvetica" w:hAnsi="Helvetica"/>
          <w:b/>
          <w:bCs/>
          <w:lang w:val="da-DK"/>
        </w:rPr>
        <w:t>HyperFlex system</w:t>
      </w:r>
      <w:r>
        <w:rPr>
          <w:rFonts w:ascii="Helvetica" w:hAnsi="Helvetica"/>
        </w:rPr>
        <w:t xml:space="preserve">. This procedure was significantly more labor-intensive than a standard </w:t>
      </w:r>
      <w:proofErr w:type="gramStart"/>
      <w:r>
        <w:rPr>
          <w:rFonts w:ascii="Helvetica" w:hAnsi="Helvetica"/>
        </w:rPr>
        <w:t>soft-tissue</w:t>
      </w:r>
      <w:proofErr w:type="gramEnd"/>
      <w:r>
        <w:rPr>
          <w:rFonts w:ascii="Helvetica" w:hAnsi="Helvetica"/>
        </w:rPr>
        <w:t xml:space="preserve"> bunionectomy:</w:t>
      </w:r>
    </w:p>
    <w:p w14:paraId="2B8AD93B" w14:textId="77777777" w:rsidR="004B7EB4" w:rsidRDefault="00435FB1">
      <w:pPr>
        <w:pStyle w:val="Default"/>
        <w:numPr>
          <w:ilvl w:val="0"/>
          <w:numId w:val="3"/>
        </w:numPr>
        <w:suppressAutoHyphens/>
        <w:spacing w:before="0" w:after="240" w:line="240" w:lineRule="auto"/>
        <w:rPr>
          <w:rFonts w:ascii="Helvetica" w:hAnsi="Helvetica"/>
        </w:rPr>
      </w:pPr>
      <w:r>
        <w:rPr>
          <w:rFonts w:ascii="Helvetica" w:hAnsi="Helvetica"/>
          <w:b/>
          <w:bCs/>
        </w:rPr>
        <w:t>Intermetatarsal Stabilization:</w:t>
      </w:r>
      <w:r>
        <w:rPr>
          <w:rFonts w:ascii="Helvetica" w:hAnsi="Helvetica"/>
        </w:rPr>
        <w:t xml:space="preserve"> Extensive dissection was required to reach the lateral aspect of the 1st metatarsal and the medial aspect of the 2nd metatarsal.</w:t>
      </w:r>
    </w:p>
    <w:p w14:paraId="08BC6BE7" w14:textId="77777777" w:rsidR="004B7EB4" w:rsidRDefault="00435FB1">
      <w:pPr>
        <w:pStyle w:val="Default"/>
        <w:numPr>
          <w:ilvl w:val="0"/>
          <w:numId w:val="3"/>
        </w:numPr>
        <w:suppressAutoHyphens/>
        <w:spacing w:before="0" w:after="240" w:line="240" w:lineRule="auto"/>
        <w:rPr>
          <w:rFonts w:ascii="Helvetica" w:hAnsi="Helvetica"/>
        </w:rPr>
      </w:pPr>
      <w:r>
        <w:rPr>
          <w:rFonts w:ascii="Helvetica" w:hAnsi="Helvetica"/>
          <w:b/>
          <w:bCs/>
        </w:rPr>
        <w:lastRenderedPageBreak/>
        <w:t>Tethering &amp; Realignment:</w:t>
      </w:r>
      <w:r>
        <w:rPr>
          <w:rFonts w:ascii="Helvetica" w:hAnsi="Helvetica"/>
        </w:rPr>
        <w:t xml:space="preserve"> Unlike a standard McBride procedure, which only involves a capsule release and "bump" removal, this procedure involved the mechanical reduction of the Metatarsus Primus Varus using a high-strength synthetic tether and bone plates and screws.</w:t>
      </w:r>
    </w:p>
    <w:p w14:paraId="3F842AA0" w14:textId="77777777" w:rsidR="004B7EB4" w:rsidRDefault="00435FB1">
      <w:pPr>
        <w:pStyle w:val="Default"/>
        <w:numPr>
          <w:ilvl w:val="0"/>
          <w:numId w:val="3"/>
        </w:numPr>
        <w:suppressAutoHyphens/>
        <w:spacing w:before="0" w:after="240" w:line="240" w:lineRule="auto"/>
        <w:rPr>
          <w:rFonts w:ascii="Helvetica" w:hAnsi="Helvetica"/>
        </w:rPr>
      </w:pPr>
      <w:r>
        <w:rPr>
          <w:rFonts w:ascii="Helvetica" w:hAnsi="Helvetica"/>
          <w:b/>
          <w:bCs/>
        </w:rPr>
        <w:t>Dynamic Correction:</w:t>
      </w:r>
      <w:r>
        <w:rPr>
          <w:rFonts w:ascii="Helvetica" w:hAnsi="Helvetica"/>
        </w:rPr>
        <w:t xml:space="preserve"> Precision placement was required to pull the subluxated first metatarsophalangeal joint (MTPJ) back into anatomical alignment without cutting the bone.</w:t>
      </w:r>
    </w:p>
    <w:p w14:paraId="4C640E52"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rPr>
        <w:t>Improved Clinical Outcome:</w:t>
      </w:r>
      <w:r>
        <w:rPr>
          <w:rFonts w:ascii="Helvetica" w:hAnsi="Helvetica"/>
        </w:rPr>
        <w:t xml:space="preserve"> Because this advanced stabilization method was used in place of a bone cut (osteotomy) or fusion, we were able to achieve a stable, structural correction that allowed for </w:t>
      </w:r>
      <w:r>
        <w:rPr>
          <w:rFonts w:ascii="Helvetica" w:hAnsi="Helvetica"/>
          <w:b/>
          <w:bCs/>
        </w:rPr>
        <w:t>immediate/early protected weight-bearing</w:t>
      </w:r>
      <w:r>
        <w:rPr>
          <w:rFonts w:ascii="Helvetica" w:hAnsi="Helvetica"/>
        </w:rPr>
        <w:t xml:space="preserve">. This allowed the patient to begin ambulation in a </w:t>
      </w:r>
      <w:r>
        <w:rPr>
          <w:rFonts w:ascii="Helvetica" w:hAnsi="Helvetica"/>
          <w:b/>
          <w:bCs/>
        </w:rPr>
        <w:t>protective surgical shoe or oversized sneaker</w:t>
      </w:r>
      <w:r>
        <w:rPr>
          <w:rFonts w:ascii="Helvetica" w:hAnsi="Helvetica"/>
        </w:rPr>
        <w:t xml:space="preserve"> shortly after surgery, significantly reducing the risk of deep vein thrombosis (DVT) and muscle atrophy associated with the 6</w:t>
      </w:r>
      <w:r>
        <w:rPr>
          <w:rFonts w:ascii="Helvetica" w:hAnsi="Helvetica"/>
        </w:rPr>
        <w:t>–</w:t>
      </w:r>
      <w:r>
        <w:rPr>
          <w:rFonts w:ascii="Helvetica" w:hAnsi="Helvetica"/>
        </w:rPr>
        <w:t>8 weeks of limited or non-weight-bearing required by traditional methods.</w:t>
      </w:r>
    </w:p>
    <w:p w14:paraId="35864398"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b/>
          <w:bCs/>
          <w:lang w:val="it-IT"/>
        </w:rPr>
        <w:t>Conclusion:</w:t>
      </w:r>
      <w:r>
        <w:rPr>
          <w:rFonts w:ascii="Helvetica" w:hAnsi="Helvetica"/>
        </w:rPr>
        <w:t xml:space="preserve"> The technical skill, specialized equipment, and additional time required to perform this structural realignment without a bone cut represent a 50</w:t>
      </w:r>
      <w:r>
        <w:rPr>
          <w:rFonts w:ascii="Helvetica" w:hAnsi="Helvetica"/>
          <w:b/>
          <w:bCs/>
        </w:rPr>
        <w:t>% increase in physician effort</w:t>
      </w:r>
      <w:r>
        <w:rPr>
          <w:rFonts w:ascii="Helvetica" w:hAnsi="Helvetica"/>
        </w:rPr>
        <w:t xml:space="preserve"> compared to a standard 28292 procedure. We kindly request that the reimbursement be adjusted accordingly to reflect this increased complexity.</w:t>
      </w:r>
    </w:p>
    <w:p w14:paraId="7ADBF5F5"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rPr>
        <w:t>Sincerely,</w:t>
      </w:r>
    </w:p>
    <w:p w14:paraId="6377ACBE"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lang w:val="pt-PT"/>
        </w:rPr>
        <w:t>[Surgeon</w:t>
      </w:r>
      <w:r>
        <w:rPr>
          <w:rFonts w:ascii="Helvetica" w:hAnsi="Helvetica"/>
          <w:rtl/>
        </w:rPr>
        <w:t>’</w:t>
      </w:r>
      <w:r>
        <w:rPr>
          <w:rFonts w:ascii="Helvetica" w:hAnsi="Helvetica"/>
        </w:rPr>
        <w:t>s Name &amp; Signature]</w:t>
      </w:r>
    </w:p>
    <w:p w14:paraId="012ACEDE" w14:textId="77777777" w:rsidR="004B7EB4" w:rsidRDefault="00435FB1">
      <w:pPr>
        <w:pStyle w:val="Default"/>
        <w:suppressAutoHyphens/>
        <w:spacing w:before="0" w:after="240" w:line="240" w:lineRule="auto"/>
        <w:rPr>
          <w:rFonts w:ascii="Helvetica" w:eastAsia="Helvetica" w:hAnsi="Helvetica" w:cs="Helvetica"/>
        </w:rPr>
      </w:pPr>
      <w:r>
        <w:rPr>
          <w:rFonts w:ascii="Helvetica" w:hAnsi="Helvetica"/>
        </w:rPr>
        <w:t>[NPI Number]</w:t>
      </w:r>
    </w:p>
    <w:p w14:paraId="624EC5F5" w14:textId="77777777" w:rsidR="004B7EB4" w:rsidRDefault="004B7EB4">
      <w:pPr>
        <w:pStyle w:val="Default"/>
        <w:suppressAutoHyphens/>
        <w:spacing w:before="0" w:line="240" w:lineRule="auto"/>
        <w:rPr>
          <w:rFonts w:ascii="Helvetica" w:eastAsia="Helvetica" w:hAnsi="Helvetica" w:cs="Helvetica"/>
          <w:color w:val="808080"/>
        </w:rPr>
      </w:pPr>
    </w:p>
    <w:p w14:paraId="030D2166" w14:textId="77777777" w:rsidR="004B7EB4" w:rsidRDefault="00435FB1">
      <w:pPr>
        <w:pStyle w:val="Default"/>
        <w:suppressAutoHyphens/>
        <w:spacing w:before="0" w:after="280" w:line="240" w:lineRule="auto"/>
        <w:rPr>
          <w:rFonts w:ascii="Helvetica" w:eastAsia="Helvetica" w:hAnsi="Helvetica" w:cs="Helvetica"/>
          <w:b/>
          <w:bCs/>
          <w:sz w:val="28"/>
          <w:szCs w:val="28"/>
        </w:rPr>
      </w:pPr>
      <w:r>
        <w:rPr>
          <w:rFonts w:ascii="Helvetica" w:hAnsi="Helvetica"/>
          <w:b/>
          <w:bCs/>
          <w:sz w:val="28"/>
          <w:szCs w:val="28"/>
        </w:rPr>
        <w:t>Final Coding Summary for the Billing Team</w:t>
      </w:r>
    </w:p>
    <w:p w14:paraId="29C6F962" w14:textId="4251D4F9" w:rsidR="004B7EB4" w:rsidRDefault="00435FB1">
      <w:pPr>
        <w:pStyle w:val="Default"/>
        <w:suppressAutoHyphens/>
        <w:spacing w:before="0" w:after="280" w:line="240" w:lineRule="auto"/>
        <w:rPr>
          <w:rFonts w:ascii="Helvetica" w:eastAsia="Helvetica" w:hAnsi="Helvetica" w:cs="Helvetica"/>
          <w:b/>
          <w:bCs/>
          <w:sz w:val="28"/>
          <w:szCs w:val="28"/>
        </w:rPr>
      </w:pPr>
      <w:r>
        <w:rPr>
          <w:rFonts w:ascii="Helvetica" w:hAnsi="Helvetica"/>
          <w:b/>
          <w:bCs/>
          <w:sz w:val="28"/>
          <w:szCs w:val="28"/>
        </w:rPr>
        <w:t>Primary Procedure</w:t>
      </w:r>
      <w:r w:rsidR="00C057D5">
        <w:rPr>
          <w:rFonts w:ascii="Helvetica" w:hAnsi="Helvetica"/>
          <w:b/>
          <w:bCs/>
          <w:sz w:val="28"/>
          <w:szCs w:val="28"/>
        </w:rPr>
        <w:t xml:space="preserve"> </w:t>
      </w:r>
      <w:r>
        <w:rPr>
          <w:rFonts w:ascii="Helvetica" w:hAnsi="Helvetica"/>
          <w:b/>
          <w:bCs/>
          <w:sz w:val="28"/>
          <w:szCs w:val="28"/>
        </w:rPr>
        <w:t>28292-22</w:t>
      </w:r>
      <w:r w:rsidR="00C057D5">
        <w:rPr>
          <w:rFonts w:ascii="Helvetica" w:hAnsi="Helvetica"/>
          <w:b/>
          <w:bCs/>
          <w:sz w:val="28"/>
          <w:szCs w:val="28"/>
        </w:rPr>
        <w:t xml:space="preserve"> </w:t>
      </w:r>
      <w:r>
        <w:rPr>
          <w:rFonts w:ascii="Helvetica" w:hAnsi="Helvetica"/>
          <w:b/>
          <w:bCs/>
          <w:sz w:val="28"/>
          <w:szCs w:val="28"/>
        </w:rPr>
        <w:t>McBride-type bunionectomy + increased complexity modifier.</w:t>
      </w:r>
    </w:p>
    <w:p w14:paraId="5159E857" w14:textId="77777777" w:rsidR="004B7EB4" w:rsidRDefault="00435FB1">
      <w:pPr>
        <w:pStyle w:val="Default"/>
        <w:suppressAutoHyphens/>
        <w:spacing w:before="0" w:after="280" w:line="240" w:lineRule="auto"/>
        <w:rPr>
          <w:rFonts w:ascii="Helvetica" w:eastAsia="Helvetica" w:hAnsi="Helvetica" w:cs="Helvetica"/>
          <w:b/>
          <w:bCs/>
          <w:sz w:val="28"/>
          <w:szCs w:val="28"/>
        </w:rPr>
      </w:pPr>
      <w:r>
        <w:rPr>
          <w:rFonts w:ascii="Helvetica" w:hAnsi="Helvetica"/>
          <w:b/>
          <w:bCs/>
          <w:sz w:val="28"/>
          <w:szCs w:val="28"/>
        </w:rPr>
        <w:t>Primary Diagnosis M20.1x Hallux Valgus (Right/Left).</w:t>
      </w:r>
    </w:p>
    <w:p w14:paraId="013323E2" w14:textId="77777777" w:rsidR="004B7EB4" w:rsidRDefault="00435FB1">
      <w:pPr>
        <w:pStyle w:val="Default"/>
        <w:suppressAutoHyphens/>
        <w:spacing w:before="0" w:after="280" w:line="240" w:lineRule="auto"/>
        <w:rPr>
          <w:rFonts w:ascii="Helvetica" w:eastAsia="Helvetica" w:hAnsi="Helvetica" w:cs="Helvetica"/>
          <w:b/>
          <w:bCs/>
          <w:sz w:val="28"/>
          <w:szCs w:val="28"/>
        </w:rPr>
      </w:pPr>
      <w:r>
        <w:rPr>
          <w:rFonts w:ascii="Helvetica" w:hAnsi="Helvetica"/>
          <w:b/>
          <w:bCs/>
          <w:sz w:val="28"/>
          <w:szCs w:val="28"/>
        </w:rPr>
        <w:t>Secondary Diagnosis M21.61x Metatarsus Varus (specifically addresses the "Primus Varus").</w:t>
      </w:r>
    </w:p>
    <w:p w14:paraId="21F43326" w14:textId="77777777" w:rsidR="004B7EB4" w:rsidRDefault="004B7EB4">
      <w:pPr>
        <w:pStyle w:val="Body"/>
      </w:pPr>
    </w:p>
    <w:sectPr w:rsidR="004B7EB4">
      <w:headerReference w:type="default" r:id="rId7"/>
      <w:footerReference w:type="default" r:id="rId8"/>
      <w:pgSz w:w="12240" w:h="15840"/>
      <w:pgMar w:top="1440" w:right="1440" w:bottom="1440" w:left="144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E41CE" w14:textId="77777777" w:rsidR="00435FB1" w:rsidRDefault="00435FB1">
      <w:r>
        <w:separator/>
      </w:r>
    </w:p>
  </w:endnote>
  <w:endnote w:type="continuationSeparator" w:id="0">
    <w:p w14:paraId="434EAC0C" w14:textId="77777777" w:rsidR="00435FB1" w:rsidRDefault="00435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B8B1" w14:textId="77777777" w:rsidR="004B7EB4" w:rsidRDefault="00435FB1">
    <w:pPr>
      <w:pStyle w:val="HeaderFooter"/>
      <w:tabs>
        <w:tab w:val="clear" w:pos="9020"/>
        <w:tab w:val="center" w:pos="4680"/>
        <w:tab w:val="right" w:pos="9360"/>
      </w:tabs>
    </w:pPr>
    <w:r>
      <w:t>Footer</w:t>
    </w:r>
    <w:r>
      <w:tab/>
    </w:r>
    <w:r>
      <w:tab/>
    </w:r>
    <w:r>
      <w:fldChar w:fldCharType="begin"/>
    </w:r>
    <w:r>
      <w:instrText xml:space="preserve"> PAGE </w:instrText>
    </w:r>
    <w:r>
      <w:fldChar w:fldCharType="separate"/>
    </w:r>
    <w:r w:rsidR="00C057D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B5A1E" w14:textId="77777777" w:rsidR="00435FB1" w:rsidRDefault="00435FB1">
      <w:r>
        <w:separator/>
      </w:r>
    </w:p>
  </w:footnote>
  <w:footnote w:type="continuationSeparator" w:id="0">
    <w:p w14:paraId="1F9A80E7" w14:textId="77777777" w:rsidR="00435FB1" w:rsidRDefault="00435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4A1C" w14:textId="77777777" w:rsidR="004B7EB4" w:rsidRDefault="004B7E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894"/>
    <w:multiLevelType w:val="hybridMultilevel"/>
    <w:tmpl w:val="3C8ACC54"/>
    <w:numStyleLink w:val="Bullet"/>
  </w:abstractNum>
  <w:abstractNum w:abstractNumId="1" w15:restartNumberingAfterBreak="0">
    <w:nsid w:val="3DF75DC5"/>
    <w:multiLevelType w:val="hybridMultilevel"/>
    <w:tmpl w:val="3C8ACC54"/>
    <w:styleLink w:val="Bullet"/>
    <w:lvl w:ilvl="0" w:tplc="68585910">
      <w:start w:val="1"/>
      <w:numFmt w:val="bullet"/>
      <w:lvlText w:val="•"/>
      <w:lvlJc w:val="left"/>
      <w:pPr>
        <w:ind w:left="7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15388004">
      <w:start w:val="1"/>
      <w:numFmt w:val="bullet"/>
      <w:lvlText w:val="•"/>
      <w:lvlJc w:val="left"/>
      <w:pPr>
        <w:ind w:left="9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2" w:tplc="AF109A92">
      <w:start w:val="1"/>
      <w:numFmt w:val="bullet"/>
      <w:lvlText w:val="•"/>
      <w:lvlJc w:val="left"/>
      <w:pPr>
        <w:ind w:left="11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3" w:tplc="7E0023E2">
      <w:start w:val="1"/>
      <w:numFmt w:val="bullet"/>
      <w:lvlText w:val="•"/>
      <w:lvlJc w:val="left"/>
      <w:pPr>
        <w:ind w:left="13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4" w:tplc="FD7291AE">
      <w:start w:val="1"/>
      <w:numFmt w:val="bullet"/>
      <w:lvlText w:val="•"/>
      <w:lvlJc w:val="left"/>
      <w:pPr>
        <w:ind w:left="160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5" w:tplc="31169F66">
      <w:start w:val="1"/>
      <w:numFmt w:val="bullet"/>
      <w:lvlText w:val="•"/>
      <w:lvlJc w:val="left"/>
      <w:pPr>
        <w:ind w:left="182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6" w:tplc="86B4259A">
      <w:start w:val="1"/>
      <w:numFmt w:val="bullet"/>
      <w:lvlText w:val="•"/>
      <w:lvlJc w:val="left"/>
      <w:pPr>
        <w:ind w:left="204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7" w:tplc="E9AADB48">
      <w:start w:val="1"/>
      <w:numFmt w:val="bullet"/>
      <w:lvlText w:val="•"/>
      <w:lvlJc w:val="left"/>
      <w:pPr>
        <w:ind w:left="226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lvl w:ilvl="8" w:tplc="1B40DE92">
      <w:start w:val="1"/>
      <w:numFmt w:val="bullet"/>
      <w:lvlText w:val="•"/>
      <w:lvlJc w:val="left"/>
      <w:pPr>
        <w:ind w:left="2480" w:hanging="500"/>
      </w:pPr>
      <w:rPr>
        <w:rFonts w:ascii="Helvetica" w:eastAsia="Helvetica" w:hAnsi="Helvetica" w:cs="Helvetica"/>
        <w:b w:val="0"/>
        <w:bCs w:val="0"/>
        <w:i w:val="0"/>
        <w:iCs w:val="0"/>
        <w:caps w:val="0"/>
        <w:smallCaps w:val="0"/>
        <w:strike w:val="0"/>
        <w:dstrike w:val="0"/>
        <w:outline w:val="0"/>
        <w:emboss w:val="0"/>
        <w:imprint w:val="0"/>
        <w:spacing w:val="0"/>
        <w:w w:val="100"/>
        <w:kern w:val="0"/>
        <w:position w:val="-2"/>
        <w:highlight w:val="none"/>
        <w:vertAlign w:val="baseline"/>
      </w:rPr>
    </w:lvl>
  </w:abstractNum>
  <w:num w:numId="1" w16cid:durableId="362098817">
    <w:abstractNumId w:val="1"/>
  </w:num>
  <w:num w:numId="2" w16cid:durableId="1574660823">
    <w:abstractNumId w:val="0"/>
  </w:num>
  <w:num w:numId="3" w16cid:durableId="613249700">
    <w:abstractNumId w:val="0"/>
    <w:lvlOverride w:ilvl="0">
      <w:lvl w:ilvl="0" w:tplc="1FDCC572">
        <w:start w:val="1"/>
        <w:numFmt w:val="bullet"/>
        <w:lvlText w:val="•"/>
        <w:lvlJc w:val="left"/>
        <w:pPr>
          <w:ind w:left="720" w:hanging="500"/>
        </w:pPr>
        <w:rPr>
          <w:rFonts w:ascii="Helvetica" w:eastAsia="Helvetica" w:hAnsi="Helvetica" w:cs="Helvetica"/>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7221954">
        <w:start w:val="1"/>
        <w:numFmt w:val="bullet"/>
        <w:lvlText w:val="•"/>
        <w:lvlJc w:val="left"/>
        <w:pPr>
          <w:ind w:left="9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315AA998">
        <w:start w:val="1"/>
        <w:numFmt w:val="bullet"/>
        <w:lvlText w:val="•"/>
        <w:lvlJc w:val="left"/>
        <w:pPr>
          <w:ind w:left="11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A8765362">
        <w:start w:val="1"/>
        <w:numFmt w:val="bullet"/>
        <w:lvlText w:val="•"/>
        <w:lvlJc w:val="left"/>
        <w:pPr>
          <w:ind w:left="13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4BD6E65A">
        <w:start w:val="1"/>
        <w:numFmt w:val="bullet"/>
        <w:lvlText w:val="•"/>
        <w:lvlJc w:val="left"/>
        <w:pPr>
          <w:ind w:left="160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8962D5D4">
        <w:start w:val="1"/>
        <w:numFmt w:val="bullet"/>
        <w:lvlText w:val="•"/>
        <w:lvlJc w:val="left"/>
        <w:pPr>
          <w:ind w:left="182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C916E0A4">
        <w:start w:val="1"/>
        <w:numFmt w:val="bullet"/>
        <w:lvlText w:val="•"/>
        <w:lvlJc w:val="left"/>
        <w:pPr>
          <w:ind w:left="204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9FEA8472">
        <w:start w:val="1"/>
        <w:numFmt w:val="bullet"/>
        <w:lvlText w:val="•"/>
        <w:lvlJc w:val="left"/>
        <w:pPr>
          <w:ind w:left="226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A1305BD4">
        <w:start w:val="1"/>
        <w:numFmt w:val="bullet"/>
        <w:lvlText w:val="•"/>
        <w:lvlJc w:val="left"/>
        <w:pPr>
          <w:ind w:left="2480" w:hanging="500"/>
        </w:pPr>
        <w:rPr>
          <w:rFonts w:ascii="Helvetica" w:eastAsia="Helvetica" w:hAnsi="Helvetica" w:cs="Helvetica"/>
          <w:b/>
          <w:bCs/>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EB4"/>
    <w:rsid w:val="00435FB1"/>
    <w:rsid w:val="004B7EB4"/>
    <w:rsid w:val="00C057D5"/>
    <w:rsid w:val="00E5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550B1"/>
  <w15:docId w15:val="{C5DDDF18-F2DC-4088-B49F-64614AB9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lang w:val="nl-NL"/>
      <w14:textOutline w14:w="0" w14:cap="flat" w14:cmpd="sng" w14:algn="ctr">
        <w14:noFill/>
        <w14:prstDash w14:val="solid"/>
        <w14:bevel/>
      </w14:textOutline>
    </w:rPr>
  </w:style>
  <w:style w:type="paragraph" w:styleId="Title">
    <w:name w:val="Title"/>
    <w:uiPriority w:val="10"/>
    <w:qFormat/>
    <w:pPr>
      <w:keepLines/>
      <w:spacing w:after="120"/>
      <w:jc w:val="center"/>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Body">
    <w:name w:val="Body"/>
    <w:pPr>
      <w:spacing w:after="240" w:line="312" w:lineRule="auto"/>
    </w:pPr>
    <w:rPr>
      <w:rFonts w:ascii="Helvetica Neue" w:eastAsia="Helvetica Neue" w:hAnsi="Helvetica Neue" w:cs="Helvetica Neue"/>
      <w:color w:val="000000"/>
      <w:spacing w:val="7"/>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21_Simple_Report">
  <a:themeElements>
    <a:clrScheme name="21_Simple_Report">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21_Simple_Report">
      <a:majorFont>
        <a:latin typeface="Helvetica Neue"/>
        <a:ea typeface="Helvetica Neue"/>
        <a:cs typeface="Helvetica Neue"/>
      </a:majorFont>
      <a:minorFont>
        <a:latin typeface="Helvetica Neue"/>
        <a:ea typeface="Helvetica Neue"/>
        <a:cs typeface="Helvetica Neue"/>
      </a:minorFont>
    </a:fontScheme>
    <a:fmtScheme name="21_Simple_Repor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30000"/>
          </a:lnSpc>
          <a:spcBef>
            <a:spcPts val="1200"/>
          </a:spcBef>
          <a:spcAft>
            <a:spcPts val="0"/>
          </a:spcAft>
          <a:buClrTx/>
          <a:buSzTx/>
          <a:buFontTx/>
          <a:buNone/>
          <a:tabLst/>
          <a:defRPr kumimoji="0" sz="1200" b="0" i="0" u="none" strike="noStrike" cap="none" spc="36"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2930</Characters>
  <Application>Microsoft Office Word</Application>
  <DocSecurity>4</DocSecurity>
  <Lines>24</Lines>
  <Paragraphs>6</Paragraphs>
  <ScaleCrop>false</ScaleCrop>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Peterhans</dc:creator>
  <cp:lastModifiedBy>Bob Peterhans</cp:lastModifiedBy>
  <cp:revision>2</cp:revision>
  <dcterms:created xsi:type="dcterms:W3CDTF">2026-05-08T15:19:00Z</dcterms:created>
  <dcterms:modified xsi:type="dcterms:W3CDTF">2026-05-08T15:19:00Z</dcterms:modified>
</cp:coreProperties>
</file>